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="0080442F">
              <w:rPr>
                <w:rFonts w:eastAsia="SimSun" w:cs="Mangal"/>
                <w:kern w:val="1"/>
                <w:lang w:val="ba-RU" w:eastAsia="zh-CN" w:bidi="hi-IN"/>
              </w:rPr>
              <w:t xml:space="preserve">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80442F" w:rsidRDefault="0080442F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80442F" w:rsidRDefault="0080442F" w:rsidP="0080442F">
      <w:pPr>
        <w:jc w:val="both"/>
        <w:rPr>
          <w:b/>
          <w:sz w:val="28"/>
          <w:szCs w:val="28"/>
        </w:rPr>
      </w:pPr>
      <w:r w:rsidRPr="0080442F">
        <w:rPr>
          <w:b/>
          <w:sz w:val="28"/>
          <w:szCs w:val="28"/>
        </w:rPr>
        <w:t xml:space="preserve">Об утверждении структуры Администрации </w:t>
      </w:r>
    </w:p>
    <w:p w:rsidR="0080442F" w:rsidRPr="0080442F" w:rsidRDefault="0080442F" w:rsidP="0080442F">
      <w:pPr>
        <w:jc w:val="both"/>
        <w:rPr>
          <w:b/>
          <w:sz w:val="28"/>
          <w:szCs w:val="28"/>
        </w:rPr>
      </w:pPr>
      <w:r w:rsidRPr="0080442F">
        <w:rPr>
          <w:b/>
          <w:sz w:val="28"/>
          <w:szCs w:val="28"/>
        </w:rPr>
        <w:t xml:space="preserve">городского поселения город Мелеуз </w:t>
      </w:r>
    </w:p>
    <w:p w:rsidR="0080442F" w:rsidRPr="0080442F" w:rsidRDefault="0080442F" w:rsidP="0080442F">
      <w:pPr>
        <w:jc w:val="both"/>
        <w:rPr>
          <w:b/>
          <w:sz w:val="28"/>
          <w:szCs w:val="28"/>
        </w:rPr>
      </w:pPr>
      <w:r w:rsidRPr="0080442F">
        <w:rPr>
          <w:b/>
          <w:sz w:val="28"/>
          <w:szCs w:val="28"/>
        </w:rPr>
        <w:t xml:space="preserve">муниципального района Мелеузовский </w:t>
      </w:r>
    </w:p>
    <w:p w:rsidR="0080442F" w:rsidRPr="0080442F" w:rsidRDefault="0080442F" w:rsidP="0080442F">
      <w:pPr>
        <w:jc w:val="both"/>
        <w:rPr>
          <w:b/>
          <w:sz w:val="28"/>
          <w:szCs w:val="28"/>
        </w:rPr>
      </w:pPr>
      <w:r w:rsidRPr="0080442F">
        <w:rPr>
          <w:b/>
          <w:sz w:val="28"/>
          <w:szCs w:val="28"/>
        </w:rPr>
        <w:t xml:space="preserve">район Республики Башкортостан </w:t>
      </w:r>
    </w:p>
    <w:p w:rsidR="0080442F" w:rsidRPr="0080442F" w:rsidRDefault="0080442F" w:rsidP="0080442F">
      <w:pPr>
        <w:jc w:val="both"/>
        <w:rPr>
          <w:b/>
          <w:sz w:val="28"/>
          <w:szCs w:val="28"/>
        </w:rPr>
      </w:pPr>
    </w:p>
    <w:p w:rsidR="0080442F" w:rsidRPr="00F143B8" w:rsidRDefault="0080442F" w:rsidP="0080442F">
      <w:pPr>
        <w:ind w:firstLine="708"/>
        <w:jc w:val="both"/>
        <w:rPr>
          <w:sz w:val="28"/>
          <w:szCs w:val="28"/>
        </w:rPr>
      </w:pPr>
      <w:proofErr w:type="gramStart"/>
      <w:r w:rsidRPr="00F143B8">
        <w:rPr>
          <w:sz w:val="28"/>
          <w:szCs w:val="28"/>
        </w:rPr>
        <w:t>Рассмотрев  представление главы Администрации городского поселения город Мелеуз муниципального района Мелеузовский район Р</w:t>
      </w:r>
      <w:r>
        <w:rPr>
          <w:sz w:val="28"/>
          <w:szCs w:val="28"/>
        </w:rPr>
        <w:t xml:space="preserve">еспублики </w:t>
      </w:r>
      <w:r w:rsidRPr="00F143B8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143B8">
        <w:rPr>
          <w:sz w:val="28"/>
          <w:szCs w:val="28"/>
        </w:rPr>
        <w:t>, руководствуясь  Федеральным Законом от 06</w:t>
      </w:r>
      <w:r>
        <w:rPr>
          <w:sz w:val="28"/>
          <w:szCs w:val="28"/>
        </w:rPr>
        <w:t xml:space="preserve"> октября </w:t>
      </w:r>
      <w:r w:rsidRPr="00F143B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F143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143B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</w:t>
      </w:r>
      <w:r>
        <w:rPr>
          <w:sz w:val="28"/>
          <w:szCs w:val="28"/>
        </w:rPr>
        <w:t>атьей</w:t>
      </w:r>
      <w:r w:rsidRPr="00F143B8">
        <w:rPr>
          <w:sz w:val="28"/>
          <w:szCs w:val="28"/>
        </w:rPr>
        <w:t xml:space="preserve"> 20 Устава городского поселения город Мелеуз муниципального района Мелеузовский район Р</w:t>
      </w:r>
      <w:r>
        <w:rPr>
          <w:sz w:val="28"/>
          <w:szCs w:val="28"/>
        </w:rPr>
        <w:t xml:space="preserve">еспублики </w:t>
      </w:r>
      <w:r w:rsidRPr="00F143B8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143B8">
        <w:rPr>
          <w:sz w:val="28"/>
          <w:szCs w:val="28"/>
        </w:rPr>
        <w:t>, Совет городского поселения город Мелеуз муниципального района Мелеузовский район Республики Башкортостан,</w:t>
      </w:r>
      <w:proofErr w:type="gramEnd"/>
    </w:p>
    <w:p w:rsidR="0080442F" w:rsidRPr="0080442F" w:rsidRDefault="0080442F" w:rsidP="0080442F">
      <w:pPr>
        <w:ind w:firstLine="708"/>
        <w:jc w:val="both"/>
        <w:rPr>
          <w:b/>
          <w:sz w:val="28"/>
          <w:szCs w:val="28"/>
        </w:rPr>
      </w:pPr>
      <w:r w:rsidRPr="0080442F">
        <w:rPr>
          <w:b/>
          <w:sz w:val="28"/>
          <w:szCs w:val="28"/>
        </w:rPr>
        <w:t>РЕШИЛ:</w:t>
      </w:r>
    </w:p>
    <w:p w:rsidR="0080442F" w:rsidRDefault="0080442F" w:rsidP="0080442F">
      <w:pPr>
        <w:ind w:firstLine="709"/>
        <w:contextualSpacing/>
        <w:jc w:val="both"/>
        <w:rPr>
          <w:sz w:val="28"/>
          <w:szCs w:val="28"/>
        </w:rPr>
      </w:pPr>
      <w:r w:rsidRPr="00F143B8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Совета городского поселения</w:t>
      </w:r>
      <w:r w:rsidRPr="00C26A1B">
        <w:rPr>
          <w:sz w:val="28"/>
          <w:szCs w:val="28"/>
        </w:rPr>
        <w:t xml:space="preserve"> </w:t>
      </w:r>
      <w:r w:rsidRPr="00F143B8">
        <w:rPr>
          <w:sz w:val="28"/>
          <w:szCs w:val="28"/>
        </w:rPr>
        <w:t>город Мелеуз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«</w:t>
      </w:r>
      <w:r w:rsidRPr="00F143B8">
        <w:rPr>
          <w:sz w:val="28"/>
          <w:szCs w:val="28"/>
        </w:rPr>
        <w:t>Об утверждении структуры Администрации городского поселения город Мелеуз муниципального района Мелеузовский район Республики Башкортостан</w:t>
      </w:r>
      <w:r>
        <w:rPr>
          <w:sz w:val="28"/>
          <w:szCs w:val="28"/>
        </w:rPr>
        <w:t>» от 29 мая 2020 года № 192.</w:t>
      </w:r>
    </w:p>
    <w:p w:rsidR="0080442F" w:rsidRDefault="0080442F" w:rsidP="008044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F143B8">
        <w:rPr>
          <w:sz w:val="28"/>
          <w:szCs w:val="28"/>
        </w:rPr>
        <w:t>Утвердить структуру Администрации городского поселения город Мелеуз муниципального района Мелеузовский район Республики Башкортостан согласно приложению.</w:t>
      </w:r>
    </w:p>
    <w:p w:rsidR="0080442F" w:rsidRPr="00F143B8" w:rsidRDefault="0080442F" w:rsidP="008044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3B8">
        <w:rPr>
          <w:sz w:val="28"/>
          <w:szCs w:val="28"/>
        </w:rPr>
        <w:t xml:space="preserve">. Контроль  по исполнению настоящего решения возложить на президиум Совета.  </w:t>
      </w:r>
    </w:p>
    <w:p w:rsidR="0080442F" w:rsidRPr="00F143B8" w:rsidRDefault="0080442F" w:rsidP="0080442F">
      <w:pPr>
        <w:tabs>
          <w:tab w:val="left" w:pos="1830"/>
        </w:tabs>
        <w:contextualSpacing/>
        <w:jc w:val="both"/>
        <w:rPr>
          <w:sz w:val="28"/>
          <w:szCs w:val="28"/>
        </w:rPr>
      </w:pPr>
      <w:r w:rsidRPr="00F143B8">
        <w:rPr>
          <w:sz w:val="28"/>
          <w:szCs w:val="28"/>
        </w:rPr>
        <w:t xml:space="preserve">                </w:t>
      </w:r>
    </w:p>
    <w:p w:rsidR="0080442F" w:rsidRDefault="0080442F" w:rsidP="0080442F">
      <w:pPr>
        <w:tabs>
          <w:tab w:val="left" w:pos="1830"/>
        </w:tabs>
        <w:rPr>
          <w:sz w:val="28"/>
          <w:szCs w:val="28"/>
        </w:rPr>
      </w:pPr>
      <w:r w:rsidRPr="00F143B8">
        <w:rPr>
          <w:sz w:val="28"/>
          <w:szCs w:val="28"/>
        </w:rPr>
        <w:t xml:space="preserve">Председатель Совета </w:t>
      </w:r>
    </w:p>
    <w:p w:rsidR="0080442F" w:rsidRDefault="0080442F" w:rsidP="0080442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0442F" w:rsidRDefault="0080442F" w:rsidP="0080442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город Мелеуз</w:t>
      </w:r>
    </w:p>
    <w:p w:rsidR="0080442F" w:rsidRDefault="0080442F" w:rsidP="0080442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0442F" w:rsidRDefault="0080442F" w:rsidP="0080442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Мелеузовский район</w:t>
      </w:r>
    </w:p>
    <w:p w:rsidR="0080442F" w:rsidRPr="00F143B8" w:rsidRDefault="0080442F" w:rsidP="0080442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F143B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А.Л. Шадрин</w:t>
      </w:r>
    </w:p>
    <w:p w:rsidR="0080442F" w:rsidRPr="005A28A5" w:rsidRDefault="0080442F" w:rsidP="0080442F">
      <w:pPr>
        <w:rPr>
          <w:sz w:val="24"/>
          <w:szCs w:val="24"/>
        </w:rPr>
      </w:pPr>
    </w:p>
    <w:p w:rsidR="0080442F" w:rsidRPr="00F143B8" w:rsidRDefault="0080442F" w:rsidP="0080442F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F143B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143B8">
        <w:rPr>
          <w:sz w:val="28"/>
          <w:szCs w:val="28"/>
        </w:rPr>
        <w:t>Мелеуз</w:t>
      </w:r>
    </w:p>
    <w:p w:rsidR="0080442F" w:rsidRPr="00F143B8" w:rsidRDefault="0080442F" w:rsidP="0080442F">
      <w:pPr>
        <w:rPr>
          <w:sz w:val="28"/>
          <w:szCs w:val="28"/>
        </w:rPr>
      </w:pPr>
      <w:r w:rsidRPr="00F143B8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F143B8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F143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43B8">
        <w:rPr>
          <w:sz w:val="28"/>
          <w:szCs w:val="28"/>
        </w:rPr>
        <w:t>г.</w:t>
      </w:r>
    </w:p>
    <w:p w:rsidR="0080442F" w:rsidRDefault="0080442F" w:rsidP="0080442F">
      <w:pPr>
        <w:jc w:val="both"/>
      </w:pPr>
      <w:r w:rsidRPr="00F143B8">
        <w:rPr>
          <w:sz w:val="28"/>
          <w:szCs w:val="28"/>
        </w:rPr>
        <w:t>№</w:t>
      </w:r>
      <w:r w:rsidR="00EF5B15">
        <w:rPr>
          <w:sz w:val="28"/>
          <w:szCs w:val="28"/>
        </w:rPr>
        <w:t xml:space="preserve"> 28</w:t>
      </w:r>
      <w:r w:rsidRPr="00F143B8">
        <w:rPr>
          <w:sz w:val="28"/>
          <w:szCs w:val="28"/>
        </w:rPr>
        <w:t xml:space="preserve">             </w:t>
      </w:r>
    </w:p>
    <w:p w:rsidR="000618D9" w:rsidRDefault="000618D9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80442F" w:rsidRDefault="0080442F" w:rsidP="0080442F">
      <w:pPr>
        <w:ind w:left="3969"/>
        <w:rPr>
          <w:sz w:val="28"/>
          <w:szCs w:val="28"/>
        </w:rPr>
      </w:pPr>
      <w:r w:rsidRPr="0080442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80442F" w:rsidRDefault="0080442F" w:rsidP="0080442F">
      <w:pPr>
        <w:ind w:left="3969"/>
        <w:rPr>
          <w:sz w:val="28"/>
          <w:szCs w:val="28"/>
        </w:rPr>
      </w:pPr>
      <w:r w:rsidRPr="0080442F">
        <w:rPr>
          <w:sz w:val="28"/>
          <w:szCs w:val="28"/>
        </w:rPr>
        <w:t xml:space="preserve">к решению Совета городского поселения </w:t>
      </w:r>
    </w:p>
    <w:p w:rsidR="0080442F" w:rsidRDefault="0080442F" w:rsidP="0080442F">
      <w:pPr>
        <w:ind w:left="3969"/>
        <w:rPr>
          <w:sz w:val="28"/>
          <w:szCs w:val="28"/>
        </w:rPr>
      </w:pPr>
      <w:r w:rsidRPr="0080442F">
        <w:rPr>
          <w:sz w:val="28"/>
          <w:szCs w:val="28"/>
        </w:rPr>
        <w:t xml:space="preserve">город Мелеуз муниципального района </w:t>
      </w:r>
    </w:p>
    <w:p w:rsidR="0080442F" w:rsidRPr="0080442F" w:rsidRDefault="0080442F" w:rsidP="0080442F">
      <w:pPr>
        <w:tabs>
          <w:tab w:val="left" w:pos="3969"/>
        </w:tabs>
        <w:ind w:left="3969"/>
        <w:rPr>
          <w:sz w:val="28"/>
          <w:szCs w:val="28"/>
        </w:rPr>
      </w:pPr>
      <w:r w:rsidRPr="0080442F">
        <w:rPr>
          <w:sz w:val="28"/>
          <w:szCs w:val="28"/>
        </w:rPr>
        <w:t>Мелеузовский район Республики Башкортостан</w:t>
      </w:r>
      <w:r w:rsidRPr="0080442F">
        <w:rPr>
          <w:sz w:val="28"/>
          <w:szCs w:val="28"/>
        </w:rPr>
        <w:br/>
        <w:t>от 19 ноября 20</w:t>
      </w:r>
      <w:r w:rsidR="00EF5B15">
        <w:rPr>
          <w:sz w:val="28"/>
          <w:szCs w:val="28"/>
        </w:rPr>
        <w:t xml:space="preserve">20 </w:t>
      </w:r>
      <w:r w:rsidRPr="0080442F">
        <w:rPr>
          <w:sz w:val="28"/>
          <w:szCs w:val="28"/>
        </w:rPr>
        <w:t>г</w:t>
      </w:r>
      <w:r w:rsidR="00EF5B15">
        <w:rPr>
          <w:sz w:val="28"/>
          <w:szCs w:val="28"/>
        </w:rPr>
        <w:t>ода</w:t>
      </w:r>
      <w:r w:rsidRPr="0080442F">
        <w:rPr>
          <w:sz w:val="28"/>
          <w:szCs w:val="28"/>
        </w:rPr>
        <w:t xml:space="preserve"> № </w:t>
      </w:r>
      <w:r w:rsidR="00EF5B15">
        <w:rPr>
          <w:sz w:val="28"/>
          <w:szCs w:val="28"/>
        </w:rPr>
        <w:t>28</w:t>
      </w:r>
    </w:p>
    <w:p w:rsidR="0080442F" w:rsidRPr="0080442F" w:rsidRDefault="0080442F" w:rsidP="008044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0442F" w:rsidRPr="0080442F" w:rsidRDefault="0080442F" w:rsidP="008044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442F">
        <w:rPr>
          <w:b/>
          <w:sz w:val="28"/>
          <w:szCs w:val="28"/>
        </w:rPr>
        <w:t xml:space="preserve">ПЕРЕЧЕНЬ </w:t>
      </w:r>
    </w:p>
    <w:p w:rsidR="0080442F" w:rsidRPr="0080442F" w:rsidRDefault="0080442F" w:rsidP="008044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442F">
        <w:rPr>
          <w:b/>
          <w:sz w:val="28"/>
          <w:szCs w:val="28"/>
        </w:rPr>
        <w:t>муниципальных должностей муниципальной службы Администрации городского поселения город Мелеуз муниципального района Мелеузовский район Республики Башкортостан на 19.11.2020г.</w:t>
      </w:r>
    </w:p>
    <w:p w:rsidR="0080442F" w:rsidRPr="0080442F" w:rsidRDefault="0080442F" w:rsidP="008044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963"/>
        <w:gridCol w:w="1560"/>
        <w:gridCol w:w="1701"/>
      </w:tblGrid>
      <w:tr w:rsidR="0080442F" w:rsidRPr="0080442F" w:rsidTr="0025536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Наименование  структурных  подразделений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Группы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Штатная  численность (единиц)</w:t>
            </w:r>
          </w:p>
        </w:tc>
      </w:tr>
      <w:tr w:rsidR="0080442F" w:rsidRPr="0080442F" w:rsidTr="0025536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4</w:t>
            </w:r>
          </w:p>
        </w:tc>
      </w:tr>
      <w:tr w:rsidR="0080442F" w:rsidRPr="0080442F" w:rsidTr="0025536A">
        <w:trPr>
          <w:trHeight w:val="6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Глава  Администрации</w:t>
            </w: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42F" w:rsidRPr="0080442F" w:rsidRDefault="0080442F" w:rsidP="00FC25E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 xml:space="preserve">Заместитель главы Администрации </w:t>
            </w:r>
            <w:r w:rsidR="00FC25E9">
              <w:rPr>
                <w:sz w:val="28"/>
                <w:szCs w:val="28"/>
              </w:rPr>
              <w:t>по городскому хозяйству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Итого:</w:t>
            </w: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3</w:t>
            </w:r>
          </w:p>
        </w:tc>
      </w:tr>
      <w:tr w:rsidR="0080442F" w:rsidRPr="0080442F" w:rsidTr="0025536A">
        <w:trPr>
          <w:trHeight w:val="47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Отдел жилищно-коммунального хозяйства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Главный специалист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Итого:</w:t>
            </w: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3</w:t>
            </w:r>
          </w:p>
        </w:tc>
      </w:tr>
      <w:tr w:rsidR="0080442F" w:rsidRPr="0080442F" w:rsidTr="0025536A">
        <w:trPr>
          <w:trHeight w:val="67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Отдел бухгалтерии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 xml:space="preserve">Начальник отдела бухгалтерии </w:t>
            </w:r>
            <w:proofErr w:type="gramStart"/>
            <w:r w:rsidRPr="0080442F">
              <w:rPr>
                <w:sz w:val="28"/>
                <w:szCs w:val="28"/>
              </w:rPr>
              <w:t>–г</w:t>
            </w:r>
            <w:proofErr w:type="gramEnd"/>
            <w:r w:rsidRPr="0080442F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Главный специали</w:t>
            </w:r>
            <w:proofErr w:type="gramStart"/>
            <w:r w:rsidRPr="0080442F">
              <w:rPr>
                <w:sz w:val="28"/>
                <w:szCs w:val="28"/>
              </w:rPr>
              <w:t>ст в сф</w:t>
            </w:r>
            <w:proofErr w:type="gramEnd"/>
            <w:r w:rsidRPr="0080442F">
              <w:rPr>
                <w:sz w:val="28"/>
                <w:szCs w:val="28"/>
              </w:rPr>
              <w:t>ере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Итого:</w:t>
            </w: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3</w:t>
            </w:r>
          </w:p>
        </w:tc>
      </w:tr>
      <w:tr w:rsidR="0080442F" w:rsidRPr="0080442F" w:rsidTr="0025536A">
        <w:trPr>
          <w:trHeight w:val="43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42F" w:rsidRPr="0080442F" w:rsidRDefault="0080442F" w:rsidP="0080442F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Отдел по учету и распределению жилья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Начальник 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 xml:space="preserve">Главный юрисконсульт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rPr>
          <w:trHeight w:val="124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3</w:t>
            </w:r>
          </w:p>
        </w:tc>
      </w:tr>
      <w:tr w:rsidR="0080442F" w:rsidRPr="0080442F" w:rsidTr="0025536A">
        <w:trPr>
          <w:trHeight w:val="7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0442F" w:rsidRPr="0080442F" w:rsidTr="0025536A">
        <w:trPr>
          <w:trHeight w:val="61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lastRenderedPageBreak/>
              <w:t>Отдел городского хозяйства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rPr>
          <w:trHeight w:val="7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Главный специалист-землеустроитель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rPr>
          <w:trHeight w:val="7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FC25E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Главный специалист по земельн</w:t>
            </w:r>
            <w:r w:rsidR="00FC25E9">
              <w:rPr>
                <w:sz w:val="28"/>
                <w:szCs w:val="28"/>
              </w:rPr>
              <w:t xml:space="preserve">ым  и </w:t>
            </w:r>
            <w:r w:rsidRPr="0080442F">
              <w:rPr>
                <w:sz w:val="28"/>
                <w:szCs w:val="28"/>
              </w:rPr>
              <w:t>имущественным отношениям</w:t>
            </w:r>
            <w:r w:rsidR="00FC25E9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80442F">
              <w:rPr>
                <w:sz w:val="28"/>
                <w:szCs w:val="28"/>
              </w:rPr>
              <w:t xml:space="preserve">  муниципальной казне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sz w:val="28"/>
                <w:szCs w:val="28"/>
              </w:rPr>
              <w:t>1</w:t>
            </w:r>
          </w:p>
        </w:tc>
      </w:tr>
      <w:tr w:rsidR="0080442F" w:rsidRPr="0080442F" w:rsidTr="0025536A">
        <w:trPr>
          <w:trHeight w:val="7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3</w:t>
            </w:r>
          </w:p>
        </w:tc>
      </w:tr>
      <w:tr w:rsidR="0080442F" w:rsidRPr="0080442F" w:rsidTr="0025536A">
        <w:trPr>
          <w:trHeight w:val="483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 xml:space="preserve">                                     ВСЕГО:</w:t>
            </w:r>
          </w:p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2F" w:rsidRPr="0080442F" w:rsidRDefault="0080442F" w:rsidP="0080442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0442F">
              <w:rPr>
                <w:b/>
                <w:sz w:val="28"/>
                <w:szCs w:val="28"/>
              </w:rPr>
              <w:t>15</w:t>
            </w:r>
          </w:p>
        </w:tc>
      </w:tr>
    </w:tbl>
    <w:p w:rsidR="0080442F" w:rsidRPr="0080442F" w:rsidRDefault="0080442F" w:rsidP="0080442F">
      <w:pPr>
        <w:widowControl/>
        <w:autoSpaceDE/>
        <w:autoSpaceDN/>
        <w:adjustRightInd/>
        <w:rPr>
          <w:sz w:val="28"/>
          <w:szCs w:val="28"/>
        </w:rPr>
      </w:pPr>
    </w:p>
    <w:p w:rsidR="0080442F" w:rsidRPr="0080442F" w:rsidRDefault="0080442F" w:rsidP="0080442F">
      <w:pPr>
        <w:widowControl/>
        <w:autoSpaceDE/>
        <w:autoSpaceDN/>
        <w:adjustRightInd/>
        <w:rPr>
          <w:sz w:val="28"/>
          <w:szCs w:val="28"/>
        </w:rPr>
      </w:pPr>
    </w:p>
    <w:p w:rsidR="0080442F" w:rsidRPr="0080442F" w:rsidRDefault="0080442F" w:rsidP="0080442F">
      <w:pPr>
        <w:widowControl/>
        <w:autoSpaceDE/>
        <w:autoSpaceDN/>
        <w:adjustRightInd/>
        <w:rPr>
          <w:sz w:val="28"/>
          <w:szCs w:val="28"/>
        </w:rPr>
      </w:pPr>
    </w:p>
    <w:p w:rsidR="0080442F" w:rsidRPr="0080442F" w:rsidRDefault="0080442F" w:rsidP="00804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442F">
        <w:rPr>
          <w:sz w:val="28"/>
          <w:szCs w:val="28"/>
        </w:rPr>
        <w:t>Управляющий делами</w:t>
      </w:r>
      <w:r w:rsidRPr="0080442F">
        <w:rPr>
          <w:sz w:val="28"/>
          <w:szCs w:val="28"/>
        </w:rPr>
        <w:tab/>
      </w:r>
      <w:r w:rsidRPr="0080442F">
        <w:rPr>
          <w:sz w:val="28"/>
          <w:szCs w:val="28"/>
        </w:rPr>
        <w:tab/>
      </w:r>
      <w:r w:rsidRPr="0080442F">
        <w:rPr>
          <w:sz w:val="28"/>
          <w:szCs w:val="28"/>
        </w:rPr>
        <w:tab/>
      </w:r>
      <w:r w:rsidRPr="00804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80442F">
        <w:rPr>
          <w:sz w:val="28"/>
          <w:szCs w:val="28"/>
        </w:rPr>
        <w:t xml:space="preserve">          О.А. </w:t>
      </w:r>
      <w:proofErr w:type="spellStart"/>
      <w:r w:rsidRPr="0080442F">
        <w:rPr>
          <w:sz w:val="28"/>
          <w:szCs w:val="28"/>
        </w:rPr>
        <w:t>Акшенцева</w:t>
      </w:r>
      <w:proofErr w:type="spellEnd"/>
    </w:p>
    <w:p w:rsidR="0080442F" w:rsidRPr="0080442F" w:rsidRDefault="0080442F" w:rsidP="0080442F">
      <w:pPr>
        <w:suppressAutoHyphens/>
        <w:autoSpaceDE/>
        <w:autoSpaceDN/>
        <w:adjustRightInd/>
        <w:rPr>
          <w:rFonts w:eastAsia="SimSun" w:cs="Mangal"/>
          <w:b/>
          <w:kern w:val="1"/>
          <w:sz w:val="28"/>
          <w:szCs w:val="28"/>
          <w:lang w:val="ba-RU" w:eastAsia="zh-CN" w:bidi="hi-IN"/>
        </w:rPr>
      </w:pPr>
    </w:p>
    <w:sectPr w:rsidR="0080442F" w:rsidRPr="0080442F" w:rsidSect="007958AE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F2" w:rsidRDefault="001200F2">
      <w:r>
        <w:separator/>
      </w:r>
    </w:p>
  </w:endnote>
  <w:endnote w:type="continuationSeparator" w:id="0">
    <w:p w:rsidR="001200F2" w:rsidRDefault="0012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F2" w:rsidRDefault="001200F2">
      <w:r>
        <w:separator/>
      </w:r>
    </w:p>
  </w:footnote>
  <w:footnote w:type="continuationSeparator" w:id="0">
    <w:p w:rsidR="001200F2" w:rsidRDefault="0012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B44EC"/>
    <w:multiLevelType w:val="multilevel"/>
    <w:tmpl w:val="B51229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618D9"/>
    <w:rsid w:val="0007755A"/>
    <w:rsid w:val="00082108"/>
    <w:rsid w:val="000924EE"/>
    <w:rsid w:val="000A2961"/>
    <w:rsid w:val="000A30EE"/>
    <w:rsid w:val="000A3870"/>
    <w:rsid w:val="000D7B77"/>
    <w:rsid w:val="000E1D34"/>
    <w:rsid w:val="001200F2"/>
    <w:rsid w:val="00145872"/>
    <w:rsid w:val="00150380"/>
    <w:rsid w:val="001600BE"/>
    <w:rsid w:val="001A25D1"/>
    <w:rsid w:val="001C5D0A"/>
    <w:rsid w:val="001D06D4"/>
    <w:rsid w:val="00212BED"/>
    <w:rsid w:val="00220BE1"/>
    <w:rsid w:val="00222E1B"/>
    <w:rsid w:val="002300D5"/>
    <w:rsid w:val="00230D1D"/>
    <w:rsid w:val="00240A3E"/>
    <w:rsid w:val="002A2E5E"/>
    <w:rsid w:val="002C2B4B"/>
    <w:rsid w:val="002E6931"/>
    <w:rsid w:val="0039745B"/>
    <w:rsid w:val="003C50E0"/>
    <w:rsid w:val="003D5CAB"/>
    <w:rsid w:val="003E7CA3"/>
    <w:rsid w:val="0046070A"/>
    <w:rsid w:val="00472DC0"/>
    <w:rsid w:val="0049077A"/>
    <w:rsid w:val="004D77EA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752ABB"/>
    <w:rsid w:val="0077725A"/>
    <w:rsid w:val="007958AE"/>
    <w:rsid w:val="007B79F7"/>
    <w:rsid w:val="007F0D79"/>
    <w:rsid w:val="0080442F"/>
    <w:rsid w:val="00813D76"/>
    <w:rsid w:val="008254F8"/>
    <w:rsid w:val="0085021C"/>
    <w:rsid w:val="0087549C"/>
    <w:rsid w:val="00916EF7"/>
    <w:rsid w:val="009438D1"/>
    <w:rsid w:val="009925D9"/>
    <w:rsid w:val="009B4FCE"/>
    <w:rsid w:val="009B7294"/>
    <w:rsid w:val="009C6107"/>
    <w:rsid w:val="00A04D3A"/>
    <w:rsid w:val="00A54D5F"/>
    <w:rsid w:val="00A85380"/>
    <w:rsid w:val="00A869DD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14C05"/>
    <w:rsid w:val="00D332B0"/>
    <w:rsid w:val="00D4270C"/>
    <w:rsid w:val="00D60833"/>
    <w:rsid w:val="00D6250A"/>
    <w:rsid w:val="00D6434A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A44DD"/>
    <w:rsid w:val="00EC1DBF"/>
    <w:rsid w:val="00EF5B15"/>
    <w:rsid w:val="00F65ECF"/>
    <w:rsid w:val="00F827DE"/>
    <w:rsid w:val="00FA74A0"/>
    <w:rsid w:val="00FC25E9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2020-11-20T05:44:00Z</cp:lastPrinted>
  <dcterms:created xsi:type="dcterms:W3CDTF">2017-07-13T10:23:00Z</dcterms:created>
  <dcterms:modified xsi:type="dcterms:W3CDTF">2020-11-20T05:46:00Z</dcterms:modified>
</cp:coreProperties>
</file>